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b/>
          <w:bCs/>
          <w:sz w:val="44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default"/>
          <w:bCs/>
          <w:sz w:val="44"/>
          <w:szCs w:val="32"/>
        </w:rPr>
      </w:pPr>
      <w:r>
        <w:rPr>
          <w:rFonts w:hint="eastAsia"/>
          <w:bCs/>
          <w:sz w:val="44"/>
          <w:szCs w:val="32"/>
          <w:lang w:val="en-US" w:eastAsia="zh-CN"/>
        </w:rPr>
        <w:t>关于</w:t>
      </w:r>
      <w:r>
        <w:rPr>
          <w:bCs/>
          <w:sz w:val="44"/>
          <w:szCs w:val="32"/>
        </w:rPr>
        <w:t>征集省法学会20</w:t>
      </w:r>
      <w:r>
        <w:rPr>
          <w:rFonts w:hint="eastAsia"/>
          <w:bCs/>
          <w:sz w:val="44"/>
          <w:szCs w:val="32"/>
          <w:lang w:val="en-US" w:eastAsia="zh-CN"/>
        </w:rPr>
        <w:t>22</w:t>
      </w:r>
      <w:r>
        <w:rPr>
          <w:bCs/>
          <w:sz w:val="44"/>
          <w:szCs w:val="32"/>
        </w:rPr>
        <w:t>年度研究课题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default" w:eastAsia="宋体"/>
          <w:bCs/>
          <w:sz w:val="44"/>
          <w:szCs w:val="32"/>
          <w:lang w:val="en-US" w:eastAsia="zh-CN"/>
        </w:rPr>
      </w:pPr>
      <w:r>
        <w:rPr>
          <w:bCs/>
          <w:sz w:val="44"/>
          <w:szCs w:val="32"/>
        </w:rPr>
        <w:t>选题建议</w:t>
      </w:r>
      <w:r>
        <w:rPr>
          <w:rFonts w:hint="eastAsia"/>
          <w:bCs/>
          <w:sz w:val="44"/>
          <w:szCs w:val="32"/>
          <w:lang w:val="en-US" w:eastAsia="zh-CN"/>
        </w:rPr>
        <w:t>的通知</w:t>
      </w:r>
    </w:p>
    <w:p>
      <w:pPr>
        <w:spacing w:line="440" w:lineRule="exact"/>
        <w:rPr>
          <w:rFonts w:eastAsia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eastAsia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各市法学会、各研究会及有关单位：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_GB2312" w:eastAsia="仿宋_GB2312"/>
          <w:color w:val="333333"/>
          <w:sz w:val="30"/>
          <w:szCs w:val="30"/>
        </w:rPr>
      </w:pP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省法学会研究课题是省法学会组织、引领、繁荣法学研究，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在现代化美好安徽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、法治安徽建设中发挥“智库”作用的重要载体。为</w:t>
      </w:r>
      <w:r>
        <w:rPr>
          <w:rFonts w:hint="eastAsia" w:ascii="仿宋_GB2312" w:eastAsia="仿宋_GB2312"/>
          <w:color w:val="333333"/>
          <w:sz w:val="30"/>
          <w:szCs w:val="30"/>
        </w:rPr>
        <w:t>做好20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color w:val="333333"/>
          <w:sz w:val="30"/>
          <w:szCs w:val="30"/>
        </w:rPr>
        <w:t>年度研究课题指南编制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工作，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根据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安徽省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法学会研究课题管理办法》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和工作需要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，现就</w:t>
      </w:r>
      <w:r>
        <w:rPr>
          <w:rFonts w:hint="eastAsia" w:ascii="仿宋_GB2312" w:eastAsia="仿宋_GB2312"/>
          <w:color w:val="333333"/>
          <w:sz w:val="30"/>
          <w:szCs w:val="30"/>
        </w:rPr>
        <w:t>征集课题选题建议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的</w:t>
      </w:r>
      <w:r>
        <w:rPr>
          <w:rFonts w:hint="eastAsia" w:ascii="仿宋_GB2312" w:eastAsia="仿宋_GB2312"/>
          <w:color w:val="333333"/>
          <w:sz w:val="30"/>
          <w:szCs w:val="30"/>
        </w:rPr>
        <w:t>有关事项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通知</w:t>
      </w:r>
      <w:r>
        <w:rPr>
          <w:rFonts w:hint="eastAsia" w:ascii="仿宋_GB2312" w:eastAsia="仿宋_GB2312"/>
          <w:color w:val="333333"/>
          <w:sz w:val="30"/>
          <w:szCs w:val="30"/>
        </w:rPr>
        <w:t>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黑体" w:hAnsi="Arial" w:eastAsia="黑体" w:cs="Arial"/>
          <w:kern w:val="0"/>
          <w:sz w:val="30"/>
          <w:szCs w:val="30"/>
        </w:rPr>
      </w:pPr>
      <w:r>
        <w:rPr>
          <w:rFonts w:hint="eastAsia" w:ascii="黑体" w:hAnsi="Arial" w:eastAsia="黑体" w:cs="Arial"/>
          <w:kern w:val="0"/>
          <w:sz w:val="30"/>
          <w:szCs w:val="30"/>
        </w:rPr>
        <w:t>一、坚持正确政治方向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深入学习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贯彻习近平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法治思想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认真贯彻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党的十九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大和十九届历次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全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会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精神，把握和运用党的百年奋斗历史经验，贯彻落实郑栅洁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书记在省委理论学习中心组学习会议上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讲话和省委政法工作会议等精神，紧扣发展急需、人民所盼，推动法治安徽、法治政府、法治社会一体建设，为领导决策贡献智慧，为建设现代化美好安徽提供有力法治保障。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</w:pPr>
      <w:r>
        <w:rPr>
          <w:rFonts w:hint="eastAsia" w:ascii="黑体" w:hAnsi="Arial" w:eastAsia="黑体" w:cs="Arial"/>
          <w:kern w:val="0"/>
          <w:sz w:val="30"/>
          <w:szCs w:val="30"/>
        </w:rPr>
        <w:t>二、选题要求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1、围绕省委省政府中心工作和政法工作大局，系统研究法治领域的突出问题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，聚焦群众切身利益的重点领域制度建设热点难点问题，在创建便利、公开、透明的市场化法治化国际化营商环境、打造一流法治环境、谋实依法治省工作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等方面提出选题建议。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39" w:firstLineChars="213"/>
        <w:jc w:val="left"/>
        <w:textAlignment w:val="auto"/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2、强化问题意识，紧密联系实际，</w:t>
      </w:r>
      <w:r>
        <w:rPr>
          <w:rFonts w:hint="default" w:ascii="仿宋_GB2312" w:eastAsia="仿宋_GB2312"/>
          <w:color w:val="333333"/>
          <w:sz w:val="30"/>
          <w:szCs w:val="30"/>
          <w:lang w:val="en-US" w:eastAsia="zh-CN"/>
        </w:rPr>
        <w:t>选题建议应提出具体题目，文字表述科学、严谨、规范，一般不加副标题。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实务部门的选题建议，请结合本单位工作实际进行论证和提炼，确保选题的前瞻性、精准性、理论性。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default" w:ascii="仿宋_GB2312" w:eastAsia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3、今年长三角法学论坛由我省承办，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论坛主题及分论题建议一并征集。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4、</w:t>
      </w:r>
      <w:r>
        <w:rPr>
          <w:rFonts w:hint="eastAsia" w:ascii="仿宋_GB2312" w:eastAsia="仿宋_GB2312"/>
          <w:color w:val="333333"/>
          <w:sz w:val="30"/>
          <w:szCs w:val="30"/>
        </w:rPr>
        <w:t>选题建议被列入课题指南的，同等条件下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可</w:t>
      </w:r>
      <w:r>
        <w:rPr>
          <w:rFonts w:hint="eastAsia" w:ascii="仿宋_GB2312" w:eastAsia="仿宋_GB2312"/>
          <w:color w:val="333333"/>
          <w:sz w:val="30"/>
          <w:szCs w:val="30"/>
        </w:rPr>
        <w:t>优先立项。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黑体" w:hAnsi="Arial" w:eastAsia="黑体" w:cs="Arial"/>
          <w:kern w:val="0"/>
          <w:sz w:val="30"/>
          <w:szCs w:val="30"/>
        </w:rPr>
      </w:pPr>
      <w:r>
        <w:rPr>
          <w:rFonts w:hint="eastAsia" w:ascii="黑体" w:hAnsi="Arial" w:eastAsia="黑体" w:cs="Arial"/>
          <w:kern w:val="0"/>
          <w:sz w:val="30"/>
          <w:szCs w:val="30"/>
        </w:rPr>
        <w:t>三、其他要求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z w:val="30"/>
          <w:szCs w:val="30"/>
        </w:rPr>
        <w:t>1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省法学会将组织专家对选题建议进行论证，择优报送中国法学会作为部级课题选题建议，并确定省法学会2022年度课题申报指南，面向社会公开招标。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_GB2312" w:eastAsia="仿宋_GB2312"/>
          <w:color w:val="333333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_GB2312" w:eastAsia="仿宋_GB2312"/>
          <w:color w:val="333333"/>
          <w:sz w:val="30"/>
          <w:szCs w:val="30"/>
        </w:rPr>
        <w:t>请于20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color w:val="333333"/>
          <w:sz w:val="30"/>
          <w:szCs w:val="30"/>
        </w:rPr>
        <w:t>年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333333"/>
          <w:sz w:val="30"/>
          <w:szCs w:val="30"/>
        </w:rPr>
        <w:t>月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color w:val="333333"/>
          <w:sz w:val="30"/>
          <w:szCs w:val="30"/>
        </w:rPr>
        <w:t>日前，将《安徽省法学会课题选题建议表》（见附件）电子版发省法学会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邮箱</w:t>
      </w:r>
      <w:r>
        <w:rPr>
          <w:rFonts w:hint="eastAsia" w:ascii="仿宋_GB2312" w:eastAsia="仿宋_GB2312"/>
          <w:color w:val="333333"/>
          <w:sz w:val="30"/>
          <w:szCs w:val="30"/>
        </w:rPr>
        <w:fldChar w:fldCharType="begin"/>
      </w:r>
      <w:r>
        <w:rPr>
          <w:rFonts w:hint="eastAsia" w:ascii="仿宋_GB2312" w:eastAsia="仿宋_GB2312"/>
          <w:color w:val="333333"/>
          <w:sz w:val="30"/>
          <w:szCs w:val="30"/>
        </w:rPr>
        <w:instrText xml:space="preserve"> HYPERLINK "mailto:电子版发省法学会电子邮箱:ahfxh1979@163.com" </w:instrText>
      </w:r>
      <w:r>
        <w:rPr>
          <w:rFonts w:hint="eastAsia" w:ascii="仿宋_GB2312" w:eastAsia="仿宋_GB2312"/>
          <w:color w:val="333333"/>
          <w:sz w:val="30"/>
          <w:szCs w:val="30"/>
        </w:rPr>
        <w:fldChar w:fldCharType="separate"/>
      </w:r>
      <w:r>
        <w:rPr>
          <w:rFonts w:hint="eastAsia" w:ascii="仿宋_GB2312" w:eastAsia="仿宋_GB2312"/>
          <w:color w:val="333333"/>
          <w:sz w:val="30"/>
          <w:szCs w:val="30"/>
        </w:rPr>
        <w:t>:ahfxh1979@163.com</w:t>
      </w:r>
      <w:r>
        <w:rPr>
          <w:rFonts w:hint="eastAsia" w:ascii="仿宋_GB2312" w:eastAsia="仿宋_GB2312"/>
          <w:color w:val="333333"/>
          <w:sz w:val="30"/>
          <w:szCs w:val="30"/>
        </w:rPr>
        <w:fldChar w:fldCharType="end"/>
      </w:r>
      <w:r>
        <w:rPr>
          <w:rFonts w:hint="eastAsia" w:ascii="仿宋_GB2312" w:eastAsia="仿宋_GB2312"/>
          <w:color w:val="333333"/>
          <w:sz w:val="30"/>
          <w:szCs w:val="30"/>
        </w:rPr>
        <w:t>，邮件标题请注明“20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color w:val="333333"/>
          <w:sz w:val="30"/>
          <w:szCs w:val="30"/>
        </w:rPr>
        <w:t>年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课题</w:t>
      </w:r>
      <w:r>
        <w:rPr>
          <w:rFonts w:hint="eastAsia" w:ascii="仿宋_GB2312" w:eastAsia="仿宋_GB2312"/>
          <w:color w:val="333333"/>
          <w:sz w:val="30"/>
          <w:szCs w:val="30"/>
        </w:rPr>
        <w:t>选题建议”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3、选题建议征集工作列入工作考核，</w:t>
      </w:r>
      <w:r>
        <w:rPr>
          <w:rFonts w:hint="eastAsia" w:ascii="仿宋_GB2312" w:eastAsia="仿宋_GB2312"/>
          <w:color w:val="333333"/>
          <w:sz w:val="30"/>
          <w:szCs w:val="30"/>
        </w:rPr>
        <w:t>以适当的方式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通报</w:t>
      </w:r>
      <w:r>
        <w:rPr>
          <w:rFonts w:hint="eastAsia" w:ascii="仿宋_GB2312" w:eastAsia="仿宋_GB2312"/>
          <w:color w:val="333333"/>
          <w:sz w:val="30"/>
          <w:szCs w:val="30"/>
        </w:rPr>
        <w:t>先进单位和个人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附件：安徽省法学会课题选题建议表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755" w:firstLineChars="236"/>
        <w:jc w:val="right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right="640"/>
        <w:rPr>
          <w:rFonts w:ascii="仿宋_GB2312" w:eastAsia="仿宋_GB2312"/>
          <w:color w:val="333333"/>
          <w:sz w:val="30"/>
          <w:szCs w:val="30"/>
        </w:rPr>
      </w:pPr>
      <w:r>
        <w:rPr>
          <w:rFonts w:hint="eastAsia" w:ascii="仿宋_GB2312" w:eastAsia="仿宋_GB2312"/>
          <w:color w:val="333333"/>
          <w:sz w:val="30"/>
          <w:szCs w:val="30"/>
        </w:rPr>
        <w:t xml:space="preserve">                                          省法学会</w:t>
      </w:r>
    </w:p>
    <w:p>
      <w:pPr>
        <w:widowControl/>
        <w:shd w:val="clear" w:color="auto" w:fill="FFFFFF"/>
        <w:spacing w:line="520" w:lineRule="exact"/>
        <w:ind w:firstLine="60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333333"/>
          <w:sz w:val="30"/>
          <w:szCs w:val="30"/>
        </w:rPr>
        <w:t>20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color w:val="333333"/>
          <w:sz w:val="30"/>
          <w:szCs w:val="30"/>
        </w:rPr>
        <w:t>年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color w:val="333333"/>
          <w:sz w:val="30"/>
          <w:szCs w:val="30"/>
        </w:rPr>
        <w:t>月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333333"/>
          <w:sz w:val="30"/>
          <w:szCs w:val="30"/>
        </w:rPr>
        <w:t>日</w:t>
      </w: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afterLines="5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spacing w:afterLines="50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安徽省法学会课题选题建议表</w:t>
      </w:r>
    </w:p>
    <w:tbl>
      <w:tblPr>
        <w:tblStyle w:val="11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645"/>
        <w:gridCol w:w="2642"/>
        <w:gridCol w:w="858"/>
        <w:gridCol w:w="750"/>
        <w:gridCol w:w="767"/>
        <w:gridCol w:w="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建议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课题名称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课题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类型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重点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一般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市县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调研</w:t>
            </w:r>
          </w:p>
          <w:p>
            <w:pPr>
              <w:jc w:val="center"/>
              <w:rPr>
                <w:rFonts w:hint="default" w:eastAsia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29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建议人姓名/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单位</w:t>
            </w:r>
          </w:p>
        </w:tc>
        <w:tc>
          <w:tcPr>
            <w:tcW w:w="5903" w:type="dxa"/>
            <w:gridSpan w:val="5"/>
            <w:vAlign w:val="bottom"/>
          </w:tcPr>
          <w:p>
            <w:pPr>
              <w:spacing w:line="440" w:lineRule="exact"/>
              <w:ind w:firstLine="1760" w:firstLineChars="400"/>
              <w:jc w:val="both"/>
              <w:rPr>
                <w:b w:val="0"/>
                <w:bCs w:val="0"/>
                <w:sz w:val="52"/>
                <w:szCs w:val="52"/>
              </w:rPr>
            </w:pPr>
            <w:r>
              <w:rPr>
                <w:rFonts w:hint="eastAsia"/>
                <w:b w:val="0"/>
                <w:bCs w:val="0"/>
                <w:sz w:val="44"/>
                <w:szCs w:val="44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5903" w:type="dxa"/>
            <w:gridSpan w:val="5"/>
            <w:vAlign w:val="bottom"/>
          </w:tcPr>
          <w:p>
            <w:pPr>
              <w:spacing w:line="440" w:lineRule="exact"/>
              <w:jc w:val="center"/>
              <w:rPr>
                <w:b w:val="0"/>
                <w:bCs w:val="0"/>
                <w:sz w:val="52"/>
                <w:szCs w:val="5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833" w:type="dxa"/>
            <w:gridSpan w:val="7"/>
            <w:vAlign w:val="center"/>
          </w:tcPr>
          <w:p>
            <w:pPr>
              <w:jc w:val="lef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研究的必要性、重点难点、可能产生的理论或实践价值：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907" w:hRule="atLeast"/>
        </w:trPr>
        <w:tc>
          <w:tcPr>
            <w:tcW w:w="8833" w:type="dxa"/>
            <w:gridSpan w:val="7"/>
            <w:vAlign w:val="center"/>
          </w:tcPr>
          <w:p>
            <w:pPr>
              <w:spacing w:afterLines="100" w:line="40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930" w:type="dxa"/>
            <w:gridSpan w:val="2"/>
            <w:vAlign w:val="bottom"/>
          </w:tcPr>
          <w:p>
            <w:pPr>
              <w:spacing w:afterLines="100" w:line="400" w:lineRule="exact"/>
              <w:jc w:val="center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长三角法学论坛主题、分论题</w:t>
            </w:r>
          </w:p>
        </w:tc>
        <w:tc>
          <w:tcPr>
            <w:tcW w:w="5903" w:type="dxa"/>
            <w:gridSpan w:val="5"/>
            <w:vAlign w:val="center"/>
          </w:tcPr>
          <w:p>
            <w:pPr>
              <w:spacing w:afterLines="100" w:line="400" w:lineRule="exact"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eastAsia="仿宋_GB2312"/>
          <w:sz w:val="24"/>
        </w:rPr>
      </w:pPr>
    </w:p>
    <w:sectPr>
      <w:footerReference r:id="rId3" w:type="default"/>
      <w:footerReference r:id="rId4" w:type="even"/>
      <w:pgSz w:w="11906" w:h="16838"/>
      <w:pgMar w:top="1474" w:right="1587" w:bottom="1293" w:left="1587" w:header="851" w:footer="68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2</w:t>
    </w:r>
    <w:r>
      <w:rPr>
        <w:rStyle w:val="15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E4F9F"/>
    <w:rsid w:val="00000A02"/>
    <w:rsid w:val="0001049F"/>
    <w:rsid w:val="000262EB"/>
    <w:rsid w:val="000306DE"/>
    <w:rsid w:val="00044758"/>
    <w:rsid w:val="0006744A"/>
    <w:rsid w:val="00071808"/>
    <w:rsid w:val="00080775"/>
    <w:rsid w:val="00080E79"/>
    <w:rsid w:val="000844F1"/>
    <w:rsid w:val="0008707F"/>
    <w:rsid w:val="0008735A"/>
    <w:rsid w:val="000914AE"/>
    <w:rsid w:val="000A3B1D"/>
    <w:rsid w:val="000A50AC"/>
    <w:rsid w:val="000B067B"/>
    <w:rsid w:val="000C29FD"/>
    <w:rsid w:val="000D03D1"/>
    <w:rsid w:val="000F6392"/>
    <w:rsid w:val="0010136A"/>
    <w:rsid w:val="00106A0A"/>
    <w:rsid w:val="001076EF"/>
    <w:rsid w:val="00112235"/>
    <w:rsid w:val="00112694"/>
    <w:rsid w:val="00125F84"/>
    <w:rsid w:val="001311C5"/>
    <w:rsid w:val="001312CE"/>
    <w:rsid w:val="00152D51"/>
    <w:rsid w:val="0017164F"/>
    <w:rsid w:val="00174EFF"/>
    <w:rsid w:val="00195412"/>
    <w:rsid w:val="001A256D"/>
    <w:rsid w:val="001A675A"/>
    <w:rsid w:val="001B5B89"/>
    <w:rsid w:val="001B76F1"/>
    <w:rsid w:val="001D0ED6"/>
    <w:rsid w:val="001E1202"/>
    <w:rsid w:val="001E5E2A"/>
    <w:rsid w:val="001F4473"/>
    <w:rsid w:val="001F53C0"/>
    <w:rsid w:val="001F799E"/>
    <w:rsid w:val="00201CA6"/>
    <w:rsid w:val="002067EB"/>
    <w:rsid w:val="0021357F"/>
    <w:rsid w:val="0021702F"/>
    <w:rsid w:val="00217F5A"/>
    <w:rsid w:val="00223B17"/>
    <w:rsid w:val="00237E32"/>
    <w:rsid w:val="002418A0"/>
    <w:rsid w:val="0025688C"/>
    <w:rsid w:val="00261D6E"/>
    <w:rsid w:val="00266F7D"/>
    <w:rsid w:val="002C3CFD"/>
    <w:rsid w:val="00306688"/>
    <w:rsid w:val="003101C6"/>
    <w:rsid w:val="00316B83"/>
    <w:rsid w:val="0032558F"/>
    <w:rsid w:val="00325F22"/>
    <w:rsid w:val="00341829"/>
    <w:rsid w:val="003420D9"/>
    <w:rsid w:val="003453E1"/>
    <w:rsid w:val="0035233E"/>
    <w:rsid w:val="00352818"/>
    <w:rsid w:val="00366BAC"/>
    <w:rsid w:val="0037162B"/>
    <w:rsid w:val="00395A02"/>
    <w:rsid w:val="003963AD"/>
    <w:rsid w:val="003A401C"/>
    <w:rsid w:val="003A743F"/>
    <w:rsid w:val="003B2507"/>
    <w:rsid w:val="003C2A17"/>
    <w:rsid w:val="003D0F80"/>
    <w:rsid w:val="003D6341"/>
    <w:rsid w:val="003F2CDA"/>
    <w:rsid w:val="004204EE"/>
    <w:rsid w:val="00421AD4"/>
    <w:rsid w:val="00423BD7"/>
    <w:rsid w:val="00426EF8"/>
    <w:rsid w:val="00433119"/>
    <w:rsid w:val="00454C23"/>
    <w:rsid w:val="00471145"/>
    <w:rsid w:val="00475FC0"/>
    <w:rsid w:val="004A2BEB"/>
    <w:rsid w:val="004B2837"/>
    <w:rsid w:val="004C2098"/>
    <w:rsid w:val="004D50BE"/>
    <w:rsid w:val="004F6F58"/>
    <w:rsid w:val="00500229"/>
    <w:rsid w:val="0050228F"/>
    <w:rsid w:val="0050400A"/>
    <w:rsid w:val="005101A4"/>
    <w:rsid w:val="00531786"/>
    <w:rsid w:val="00563F72"/>
    <w:rsid w:val="00566D59"/>
    <w:rsid w:val="005B09ED"/>
    <w:rsid w:val="005B62EF"/>
    <w:rsid w:val="005C3876"/>
    <w:rsid w:val="005C3F12"/>
    <w:rsid w:val="005D2A9B"/>
    <w:rsid w:val="005D43A6"/>
    <w:rsid w:val="005E1B31"/>
    <w:rsid w:val="005E4F18"/>
    <w:rsid w:val="005E50E2"/>
    <w:rsid w:val="005F12E9"/>
    <w:rsid w:val="005F2BAF"/>
    <w:rsid w:val="00610929"/>
    <w:rsid w:val="006251E4"/>
    <w:rsid w:val="00631F5C"/>
    <w:rsid w:val="00634EA4"/>
    <w:rsid w:val="00640231"/>
    <w:rsid w:val="00652E4A"/>
    <w:rsid w:val="006548A2"/>
    <w:rsid w:val="006554D4"/>
    <w:rsid w:val="00662C98"/>
    <w:rsid w:val="006679EC"/>
    <w:rsid w:val="00673D60"/>
    <w:rsid w:val="0069216D"/>
    <w:rsid w:val="0069328C"/>
    <w:rsid w:val="006B05C3"/>
    <w:rsid w:val="006B22D7"/>
    <w:rsid w:val="006B581B"/>
    <w:rsid w:val="006B5A14"/>
    <w:rsid w:val="006B664D"/>
    <w:rsid w:val="006B75B6"/>
    <w:rsid w:val="006C2D0B"/>
    <w:rsid w:val="006E1513"/>
    <w:rsid w:val="006E5713"/>
    <w:rsid w:val="0071088D"/>
    <w:rsid w:val="00725605"/>
    <w:rsid w:val="007410FC"/>
    <w:rsid w:val="00751C1D"/>
    <w:rsid w:val="00756E32"/>
    <w:rsid w:val="00770F28"/>
    <w:rsid w:val="007819AA"/>
    <w:rsid w:val="007929CA"/>
    <w:rsid w:val="00796B5A"/>
    <w:rsid w:val="007A464B"/>
    <w:rsid w:val="007A7E66"/>
    <w:rsid w:val="007B566E"/>
    <w:rsid w:val="007D1662"/>
    <w:rsid w:val="007E3BB3"/>
    <w:rsid w:val="007E664A"/>
    <w:rsid w:val="007F1D19"/>
    <w:rsid w:val="007F7396"/>
    <w:rsid w:val="0080525B"/>
    <w:rsid w:val="00820940"/>
    <w:rsid w:val="0084247C"/>
    <w:rsid w:val="00856872"/>
    <w:rsid w:val="00857818"/>
    <w:rsid w:val="00896BE7"/>
    <w:rsid w:val="008A242E"/>
    <w:rsid w:val="008C6BAF"/>
    <w:rsid w:val="008C6F2B"/>
    <w:rsid w:val="008D15BA"/>
    <w:rsid w:val="008D27FC"/>
    <w:rsid w:val="008D527B"/>
    <w:rsid w:val="008E2982"/>
    <w:rsid w:val="00903C50"/>
    <w:rsid w:val="00927FCA"/>
    <w:rsid w:val="00930B8F"/>
    <w:rsid w:val="009328CE"/>
    <w:rsid w:val="00935ACD"/>
    <w:rsid w:val="00936013"/>
    <w:rsid w:val="0094006E"/>
    <w:rsid w:val="00940160"/>
    <w:rsid w:val="00943016"/>
    <w:rsid w:val="009444FF"/>
    <w:rsid w:val="0096363B"/>
    <w:rsid w:val="009648EF"/>
    <w:rsid w:val="00976CA7"/>
    <w:rsid w:val="00977934"/>
    <w:rsid w:val="00996550"/>
    <w:rsid w:val="009A1594"/>
    <w:rsid w:val="009B6AE9"/>
    <w:rsid w:val="009B6DD7"/>
    <w:rsid w:val="009C02C4"/>
    <w:rsid w:val="009C1B8D"/>
    <w:rsid w:val="009C5E5E"/>
    <w:rsid w:val="009D16B3"/>
    <w:rsid w:val="009D6810"/>
    <w:rsid w:val="009D684E"/>
    <w:rsid w:val="009E66AC"/>
    <w:rsid w:val="009F25C7"/>
    <w:rsid w:val="00A11400"/>
    <w:rsid w:val="00A26065"/>
    <w:rsid w:val="00A31A4D"/>
    <w:rsid w:val="00A3234E"/>
    <w:rsid w:val="00A36570"/>
    <w:rsid w:val="00A4058D"/>
    <w:rsid w:val="00A74BD8"/>
    <w:rsid w:val="00A80D1F"/>
    <w:rsid w:val="00A84C22"/>
    <w:rsid w:val="00A85B95"/>
    <w:rsid w:val="00A871F0"/>
    <w:rsid w:val="00A926E1"/>
    <w:rsid w:val="00A92792"/>
    <w:rsid w:val="00A97CDB"/>
    <w:rsid w:val="00AA0287"/>
    <w:rsid w:val="00AA26FF"/>
    <w:rsid w:val="00AA5A83"/>
    <w:rsid w:val="00AB290D"/>
    <w:rsid w:val="00AC4BF2"/>
    <w:rsid w:val="00AC5325"/>
    <w:rsid w:val="00AC63FF"/>
    <w:rsid w:val="00AD2950"/>
    <w:rsid w:val="00AD5F7C"/>
    <w:rsid w:val="00B069FA"/>
    <w:rsid w:val="00B158FD"/>
    <w:rsid w:val="00B17865"/>
    <w:rsid w:val="00B204DE"/>
    <w:rsid w:val="00B26A4F"/>
    <w:rsid w:val="00B31D0B"/>
    <w:rsid w:val="00B3420A"/>
    <w:rsid w:val="00B35BC1"/>
    <w:rsid w:val="00B37059"/>
    <w:rsid w:val="00B41072"/>
    <w:rsid w:val="00B428EF"/>
    <w:rsid w:val="00B43A55"/>
    <w:rsid w:val="00B46BA1"/>
    <w:rsid w:val="00B54AB1"/>
    <w:rsid w:val="00B54F8A"/>
    <w:rsid w:val="00B901E8"/>
    <w:rsid w:val="00BA01FB"/>
    <w:rsid w:val="00BA2D18"/>
    <w:rsid w:val="00BC79C8"/>
    <w:rsid w:val="00BD1040"/>
    <w:rsid w:val="00BD3776"/>
    <w:rsid w:val="00BE4139"/>
    <w:rsid w:val="00C06412"/>
    <w:rsid w:val="00C11760"/>
    <w:rsid w:val="00C167A7"/>
    <w:rsid w:val="00C24F61"/>
    <w:rsid w:val="00C25130"/>
    <w:rsid w:val="00C30954"/>
    <w:rsid w:val="00C41B35"/>
    <w:rsid w:val="00C4552C"/>
    <w:rsid w:val="00C4561C"/>
    <w:rsid w:val="00C45B85"/>
    <w:rsid w:val="00C472CE"/>
    <w:rsid w:val="00C50B99"/>
    <w:rsid w:val="00C530A9"/>
    <w:rsid w:val="00C53B91"/>
    <w:rsid w:val="00C54552"/>
    <w:rsid w:val="00C61D2F"/>
    <w:rsid w:val="00C754A0"/>
    <w:rsid w:val="00CA2A54"/>
    <w:rsid w:val="00CB0649"/>
    <w:rsid w:val="00CC6DFD"/>
    <w:rsid w:val="00CD11ED"/>
    <w:rsid w:val="00CD4119"/>
    <w:rsid w:val="00CE0B5D"/>
    <w:rsid w:val="00CE29E5"/>
    <w:rsid w:val="00CE3873"/>
    <w:rsid w:val="00CF35D8"/>
    <w:rsid w:val="00D00706"/>
    <w:rsid w:val="00D031B9"/>
    <w:rsid w:val="00D057E5"/>
    <w:rsid w:val="00D1307F"/>
    <w:rsid w:val="00D21239"/>
    <w:rsid w:val="00D241FF"/>
    <w:rsid w:val="00D2463E"/>
    <w:rsid w:val="00D31C40"/>
    <w:rsid w:val="00D43A7E"/>
    <w:rsid w:val="00D459B2"/>
    <w:rsid w:val="00D46092"/>
    <w:rsid w:val="00D651F7"/>
    <w:rsid w:val="00D674A3"/>
    <w:rsid w:val="00D83EF3"/>
    <w:rsid w:val="00D94A92"/>
    <w:rsid w:val="00D96876"/>
    <w:rsid w:val="00DA0772"/>
    <w:rsid w:val="00DA3134"/>
    <w:rsid w:val="00DA54CA"/>
    <w:rsid w:val="00DA64DC"/>
    <w:rsid w:val="00DB2C31"/>
    <w:rsid w:val="00DB3BFE"/>
    <w:rsid w:val="00DB615A"/>
    <w:rsid w:val="00DB6B13"/>
    <w:rsid w:val="00DB7793"/>
    <w:rsid w:val="00DC3983"/>
    <w:rsid w:val="00DF5D89"/>
    <w:rsid w:val="00E041BA"/>
    <w:rsid w:val="00E11EC6"/>
    <w:rsid w:val="00E16A49"/>
    <w:rsid w:val="00E24D5D"/>
    <w:rsid w:val="00E33FE6"/>
    <w:rsid w:val="00E34106"/>
    <w:rsid w:val="00E436B4"/>
    <w:rsid w:val="00E45EEE"/>
    <w:rsid w:val="00E53B73"/>
    <w:rsid w:val="00E71784"/>
    <w:rsid w:val="00E75687"/>
    <w:rsid w:val="00E900EB"/>
    <w:rsid w:val="00E90E1E"/>
    <w:rsid w:val="00EB0163"/>
    <w:rsid w:val="00EC053E"/>
    <w:rsid w:val="00ED1934"/>
    <w:rsid w:val="00ED3478"/>
    <w:rsid w:val="00EE1EE7"/>
    <w:rsid w:val="00EE67B4"/>
    <w:rsid w:val="00EF4AB1"/>
    <w:rsid w:val="00EF68B3"/>
    <w:rsid w:val="00F0297C"/>
    <w:rsid w:val="00F11631"/>
    <w:rsid w:val="00F16CB6"/>
    <w:rsid w:val="00F20145"/>
    <w:rsid w:val="00F22655"/>
    <w:rsid w:val="00F325B4"/>
    <w:rsid w:val="00F4070B"/>
    <w:rsid w:val="00F44673"/>
    <w:rsid w:val="00F47663"/>
    <w:rsid w:val="00F55CDF"/>
    <w:rsid w:val="00F5616A"/>
    <w:rsid w:val="00F60C38"/>
    <w:rsid w:val="00F63276"/>
    <w:rsid w:val="00F73418"/>
    <w:rsid w:val="00F939F9"/>
    <w:rsid w:val="00FA19B9"/>
    <w:rsid w:val="00FB041F"/>
    <w:rsid w:val="00FB12DE"/>
    <w:rsid w:val="00FB7EBF"/>
    <w:rsid w:val="00FF022C"/>
    <w:rsid w:val="00FF402B"/>
    <w:rsid w:val="00FF493A"/>
    <w:rsid w:val="01155CA1"/>
    <w:rsid w:val="01AA3D37"/>
    <w:rsid w:val="03420E7E"/>
    <w:rsid w:val="043A34F2"/>
    <w:rsid w:val="06D23AC6"/>
    <w:rsid w:val="07E41FE9"/>
    <w:rsid w:val="08C01E04"/>
    <w:rsid w:val="0A9E4F9F"/>
    <w:rsid w:val="0D3B3961"/>
    <w:rsid w:val="15233028"/>
    <w:rsid w:val="17572038"/>
    <w:rsid w:val="19C56B1C"/>
    <w:rsid w:val="1D677483"/>
    <w:rsid w:val="1F404A2C"/>
    <w:rsid w:val="20BB7B2F"/>
    <w:rsid w:val="22D00EC5"/>
    <w:rsid w:val="257D2ECD"/>
    <w:rsid w:val="269268CC"/>
    <w:rsid w:val="2E0E2B2D"/>
    <w:rsid w:val="372371D2"/>
    <w:rsid w:val="3E573AFD"/>
    <w:rsid w:val="3FD5382C"/>
    <w:rsid w:val="40674779"/>
    <w:rsid w:val="441A0AC4"/>
    <w:rsid w:val="445A3110"/>
    <w:rsid w:val="4B320132"/>
    <w:rsid w:val="4D466190"/>
    <w:rsid w:val="51553736"/>
    <w:rsid w:val="55EB741B"/>
    <w:rsid w:val="570B60A5"/>
    <w:rsid w:val="5C60220B"/>
    <w:rsid w:val="6200489D"/>
    <w:rsid w:val="660C3A42"/>
    <w:rsid w:val="67273CBD"/>
    <w:rsid w:val="67E23EE9"/>
    <w:rsid w:val="6A2829D5"/>
    <w:rsid w:val="6B2F0F29"/>
    <w:rsid w:val="74803F3B"/>
    <w:rsid w:val="76D856AE"/>
    <w:rsid w:val="78D32376"/>
    <w:rsid w:val="7A9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spacing w:line="600" w:lineRule="exact"/>
    </w:pPr>
    <w:rPr>
      <w:rFonts w:ascii="仿宋_GB2312" w:eastAsia="仿宋_GB2312"/>
      <w:b/>
      <w:sz w:val="32"/>
      <w:szCs w:val="32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semiHidden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styleId="18">
    <w:name w:val="footnote reference"/>
    <w:basedOn w:val="13"/>
    <w:semiHidden/>
    <w:unhideWhenUsed/>
    <w:qFormat/>
    <w:uiPriority w:val="99"/>
    <w:rPr>
      <w:vertAlign w:val="superscript"/>
    </w:rPr>
  </w:style>
  <w:style w:type="character" w:customStyle="1" w:styleId="19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日期 Char"/>
    <w:link w:val="5"/>
    <w:semiHidden/>
    <w:qFormat/>
    <w:uiPriority w:val="99"/>
    <w:rPr>
      <w:kern w:val="2"/>
      <w:sz w:val="21"/>
      <w:szCs w:val="24"/>
    </w:rPr>
  </w:style>
  <w:style w:type="character" w:customStyle="1" w:styleId="22">
    <w:name w:val="标题 1 Char"/>
    <w:basedOn w:val="13"/>
    <w:link w:val="2"/>
    <w:qFormat/>
    <w:uiPriority w:val="0"/>
    <w:rPr>
      <w:rFonts w:ascii="宋体" w:hAnsi="宋体"/>
      <w:b/>
      <w:kern w:val="44"/>
      <w:sz w:val="48"/>
      <w:szCs w:val="48"/>
    </w:rPr>
  </w:style>
  <w:style w:type="paragraph" w:customStyle="1" w:styleId="23">
    <w:name w:val="p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脚注文本 Char"/>
    <w:basedOn w:val="13"/>
    <w:link w:val="9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38;&#39064;\2020\&#24449;&#38598;&#36873;&#39064;&#24314;&#35758;&#36890;&#30693;202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47A65F-A6DA-4925-B37E-3522F8034C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征集选题建议通知2020.docx</Template>
  <Pages>3</Pages>
  <Words>709</Words>
  <Characters>778</Characters>
  <Lines>16</Lines>
  <Paragraphs>4</Paragraphs>
  <TotalTime>10</TotalTime>
  <ScaleCrop>false</ScaleCrop>
  <LinksUpToDate>false</LinksUpToDate>
  <CharactersWithSpaces>827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2021-01-12T03:07:00Z</dcterms:created>
  <dc:creator>怒放的生命</dc:creator>
  <cp:lastModifiedBy>怒放的生命</cp:lastModifiedBy>
  <dcterms:modified xsi:type="dcterms:W3CDTF">2022-02-09T02:51:41Z</dcterms:modified>
  <dc:title>关于召开“全国地方法学会建设经验交流会议”的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955FE2F0F36C47F091E2AE75FF192DCF</vt:lpwstr>
  </property>
</Properties>
</file>